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Name:___</w:t>
      </w:r>
      <w:r w:rsidR="00437C82" w:rsidRPr="00437C82">
        <w:rPr>
          <w:b/>
          <w:sz w:val="36"/>
          <w:szCs w:val="36"/>
          <w:highlight w:val="yellow"/>
          <w:u w:val="single"/>
        </w:rPr>
        <w:t>Angie Radloff</w:t>
      </w:r>
      <w:r w:rsidRPr="00161E9C">
        <w:rPr>
          <w:b/>
          <w:sz w:val="36"/>
          <w:szCs w:val="36"/>
          <w:highlight w:val="yellow"/>
        </w:rPr>
        <w:t>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F131AF" w:rsidP="00FA656A">
            <w:pPr>
              <w:ind w:left="360"/>
              <w:rPr>
                <w:sz w:val="20"/>
              </w:rPr>
            </w:pPr>
            <w:r>
              <w:rPr>
                <w:sz w:val="20"/>
              </w:rPr>
              <w:t>What professional behaviors do you model with the intent of staff emulating?</w:t>
            </w:r>
          </w:p>
        </w:tc>
        <w:tc>
          <w:tcPr>
            <w:tcW w:w="5310" w:type="dxa"/>
          </w:tcPr>
          <w:p w:rsidR="00AD57F5" w:rsidRPr="00A3478C" w:rsidRDefault="00F131AF" w:rsidP="00FA656A">
            <w:pPr>
              <w:ind w:left="360"/>
              <w:rPr>
                <w:sz w:val="20"/>
              </w:rPr>
            </w:pPr>
            <w:r>
              <w:rPr>
                <w:sz w:val="20"/>
              </w:rPr>
              <w:t>How has working through IPDM influenced how you communicate the need for on-going professionalism in the interaction between staff and students both in and out of the classrooms?</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F131AF" w:rsidP="00DB20AA">
            <w:pPr>
              <w:ind w:left="360"/>
              <w:rPr>
                <w:sz w:val="20"/>
              </w:rPr>
            </w:pPr>
            <w:r>
              <w:rPr>
                <w:sz w:val="20"/>
              </w:rPr>
              <w:t xml:space="preserve">Describe what you have done with the veteran teachers in the district to motivate them to improve </w:t>
            </w:r>
            <w:r w:rsidR="00622967">
              <w:rPr>
                <w:sz w:val="20"/>
              </w:rPr>
              <w:t>their strategies and how they impact students.</w:t>
            </w:r>
          </w:p>
        </w:tc>
        <w:tc>
          <w:tcPr>
            <w:tcW w:w="5310" w:type="dxa"/>
          </w:tcPr>
          <w:p w:rsidR="00AD57F5" w:rsidRPr="00A3478C" w:rsidRDefault="00622967" w:rsidP="00DB20AA">
            <w:pPr>
              <w:ind w:left="360"/>
              <w:rPr>
                <w:sz w:val="20"/>
              </w:rPr>
            </w:pPr>
            <w:r>
              <w:rPr>
                <w:sz w:val="20"/>
              </w:rPr>
              <w:t>What are some ideas for helping experienced teachers embrace the need for on-going/ continuous improvement?</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622967" w:rsidP="00DB20AA">
            <w:pPr>
              <w:ind w:left="360"/>
              <w:rPr>
                <w:sz w:val="20"/>
              </w:rPr>
            </w:pPr>
            <w:r>
              <w:rPr>
                <w:sz w:val="20"/>
              </w:rPr>
              <w:t>How have you worked with your new teachers that have impacted their classroom management skills?</w:t>
            </w:r>
          </w:p>
        </w:tc>
        <w:tc>
          <w:tcPr>
            <w:tcW w:w="5310" w:type="dxa"/>
          </w:tcPr>
          <w:p w:rsidR="00AD57F5" w:rsidRPr="00A3478C" w:rsidRDefault="00622967" w:rsidP="00DB20AA">
            <w:pPr>
              <w:ind w:left="360"/>
              <w:rPr>
                <w:sz w:val="20"/>
              </w:rPr>
            </w:pPr>
            <w:r>
              <w:rPr>
                <w:sz w:val="20"/>
              </w:rPr>
              <w:t>When working with new teachers, what do you feel they need from their principal in order to be a successful teacher?</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BC7357" w:rsidP="00DB20AA">
            <w:pPr>
              <w:ind w:left="360"/>
              <w:rPr>
                <w:sz w:val="20"/>
              </w:rPr>
            </w:pPr>
            <w:r>
              <w:rPr>
                <w:sz w:val="20"/>
              </w:rPr>
              <w:t>What actions have you taken to ensure the limited diversity seen is our district is valued and not just tolerated?</w:t>
            </w:r>
          </w:p>
        </w:tc>
        <w:tc>
          <w:tcPr>
            <w:tcW w:w="5310" w:type="dxa"/>
          </w:tcPr>
          <w:p w:rsidR="00AD57F5" w:rsidRPr="00A3478C" w:rsidRDefault="00BC7357" w:rsidP="00DB20AA">
            <w:pPr>
              <w:ind w:left="360"/>
              <w:rPr>
                <w:sz w:val="20"/>
              </w:rPr>
            </w:pPr>
            <w:r>
              <w:rPr>
                <w:sz w:val="20"/>
              </w:rPr>
              <w:t>How could we encourage the staff and students to honor the diversity in our school and community? How can we prepare them to successfully work in a more diverse world than what they have experienced in our small school and community?</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BC7357" w:rsidP="00DB20AA">
            <w:pPr>
              <w:ind w:left="360"/>
              <w:rPr>
                <w:sz w:val="20"/>
              </w:rPr>
            </w:pPr>
            <w:r>
              <w:rPr>
                <w:sz w:val="20"/>
              </w:rPr>
              <w:t>How have you communicated the need for multiple opinions when problem solving within the faculty meetings?</w:t>
            </w:r>
          </w:p>
        </w:tc>
        <w:tc>
          <w:tcPr>
            <w:tcW w:w="5310" w:type="dxa"/>
          </w:tcPr>
          <w:p w:rsidR="00AD57F5" w:rsidRPr="00A3478C" w:rsidRDefault="00BC7357" w:rsidP="00BC7357">
            <w:pPr>
              <w:ind w:left="360"/>
              <w:rPr>
                <w:sz w:val="20"/>
              </w:rPr>
            </w:pPr>
            <w:r>
              <w:rPr>
                <w:sz w:val="20"/>
              </w:rPr>
              <w:t xml:space="preserve">What would a teacher see and/or hear from you that would let them know that it is acceptable to disagree with your opinion/decision? </w:t>
            </w:r>
          </w:p>
        </w:tc>
      </w:tr>
    </w:tbl>
    <w:p w:rsidR="00DD0B7A" w:rsidRDefault="00DD0B7A"/>
    <w:p w:rsidR="00DB20AA" w:rsidRPr="00161E9C" w:rsidRDefault="00DD0B7A">
      <w:pPr>
        <w:rPr>
          <w:b/>
        </w:rPr>
      </w:pPr>
      <w:r>
        <w:br w:type="page"/>
      </w:r>
    </w:p>
    <w:p w:rsidR="00B92F75" w:rsidRDefault="007956B7" w:rsidP="00161E9C">
      <w:pPr>
        <w:rPr>
          <w:b/>
        </w:rPr>
      </w:pPr>
      <w:r>
        <w:rPr>
          <w:b/>
        </w:rPr>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1AF" w:rsidRDefault="00F131AF">
      <w:r>
        <w:separator/>
      </w:r>
    </w:p>
  </w:endnote>
  <w:endnote w:type="continuationSeparator" w:id="0">
    <w:p w:rsidR="00F131AF" w:rsidRDefault="00F13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1AF" w:rsidRPr="00DB1D4A" w:rsidRDefault="00F131AF"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BC7357">
      <w:rPr>
        <w:rStyle w:val="PageNumber"/>
        <w:noProof/>
        <w:sz w:val="20"/>
      </w:rPr>
      <w:t>29</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1AF" w:rsidRDefault="00F131AF">
      <w:r>
        <w:separator/>
      </w:r>
    </w:p>
  </w:footnote>
  <w:footnote w:type="continuationSeparator" w:id="0">
    <w:p w:rsidR="00F131AF" w:rsidRDefault="00F13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1AF" w:rsidRPr="00494D97" w:rsidRDefault="00F131AF" w:rsidP="00A511DA">
    <w:pPr>
      <w:pStyle w:val="Header"/>
      <w:jc w:val="center"/>
      <w:rPr>
        <w:b/>
        <w:i/>
        <w:szCs w:val="24"/>
      </w:rPr>
    </w:pPr>
    <w:r>
      <w:rPr>
        <w:b/>
        <w:i/>
        <w:szCs w:val="24"/>
      </w:rPr>
      <w:t xml:space="preserve">Creating Directive and Supportive Questions for Observable Behaviors of the </w:t>
    </w:r>
  </w:p>
  <w:p w:rsidR="00F131AF" w:rsidRDefault="00F131AF"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F131AF" w:rsidRDefault="00F131AF" w:rsidP="00401A0B">
    <w:pPr>
      <w:pStyle w:val="Header"/>
      <w:jc w:val="right"/>
      <w:rPr>
        <w:i/>
        <w:sz w:val="20"/>
      </w:rPr>
    </w:pPr>
    <w:r>
      <w:rPr>
        <w:i/>
        <w:sz w:val="20"/>
      </w:rPr>
      <w:t>Iowa Evaluator Approval Training Program II:  Evaluation of Administrators</w:t>
    </w:r>
  </w:p>
  <w:p w:rsidR="00F131AF" w:rsidRPr="0085690C" w:rsidRDefault="00F131AF"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7169">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37C8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8FD"/>
    <w:rsid w:val="005D5BF3"/>
    <w:rsid w:val="005E0577"/>
    <w:rsid w:val="005E1BE3"/>
    <w:rsid w:val="005E4FEC"/>
    <w:rsid w:val="005F0DC0"/>
    <w:rsid w:val="005F1D4C"/>
    <w:rsid w:val="005F3A19"/>
    <w:rsid w:val="006106DF"/>
    <w:rsid w:val="00613727"/>
    <w:rsid w:val="00620FCF"/>
    <w:rsid w:val="00622967"/>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A68F2"/>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C7357"/>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131AF"/>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69">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C01D-68E7-439A-8974-2791E09F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Sony Customer</cp:lastModifiedBy>
  <cp:revision>5</cp:revision>
  <cp:lastPrinted>2007-06-03T17:11:00Z</cp:lastPrinted>
  <dcterms:created xsi:type="dcterms:W3CDTF">2009-11-02T18:02:00Z</dcterms:created>
  <dcterms:modified xsi:type="dcterms:W3CDTF">2009-11-02T18:16:00Z</dcterms:modified>
</cp:coreProperties>
</file>